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95" w:rsidRDefault="00C90C00">
      <w:r w:rsidRPr="00C90C00">
        <w:rPr>
          <w:rFonts w:ascii="Roboto" w:hAnsi="Roboto"/>
          <w:b/>
          <w:color w:val="000000"/>
          <w:u w:val="single"/>
        </w:rPr>
        <w:t>Výňatek z Metodického pokynu hlavní hygieničky České republiky k jednotnému postupu krajských hygienických stanic ze dne 11. 9. 2020:</w:t>
      </w:r>
      <w:r w:rsidRPr="00C90C00">
        <w:rPr>
          <w:rFonts w:ascii="Roboto" w:hAnsi="Roboto"/>
          <w:b/>
          <w:color w:val="000000"/>
          <w:u w:val="single"/>
        </w:rPr>
        <w:br/>
      </w:r>
      <w:r>
        <w:rPr>
          <w:rFonts w:ascii="Roboto" w:hAnsi="Roboto"/>
          <w:color w:val="000000"/>
        </w:rPr>
        <w:t>KHS v případě, že epidemiologickým šetřením zjistí, že jak osoba, u které bylo laboratorním vyšetřením prokázáno onemocnění COVID-19, tj. přítomnost SARS-CoV-2 (dále jen „pozitivní osoba“), tak i osoba, která byla v úzkém kontaktu s touto pozitivní osobou, měly po celou dobu tohoto kontaktu, s výjimkou krátké doby (do 15 minut, např. při konzumaci potravy) nasazenou náležitou ochranu dýchacích cest (např. roušku), nebo dodržely při krátkodobém sejmutí této ochrany větší vzdálenost (nad 1,5 metru), nenařídí této osobě v úzkém kontaktu karanténu, a to za předpokladu, že tato osoba nemá žádné příznaky onemocnění COVID-19 a zároveň nebyly epidemiologickým šetřením KHS prokázány jiné epidemiologicky významné skutečnosti.</w:t>
      </w:r>
      <w:r>
        <w:rPr>
          <w:rFonts w:ascii="Roboto" w:hAnsi="Roboto"/>
          <w:color w:val="000000"/>
        </w:rPr>
        <w:br/>
        <w:t>Za náležitou ochranu dýchacích cest se nepovažuje improvizovaná ochrana nosu a úst např. šálou či šátkem.</w:t>
      </w:r>
      <w:bookmarkStart w:id="0" w:name="_GoBack"/>
      <w:bookmarkEnd w:id="0"/>
    </w:p>
    <w:sectPr w:rsidR="008E5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00"/>
    <w:rsid w:val="008E5395"/>
    <w:rsid w:val="00C90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826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2020-09-16T11:10:00Z</dcterms:created>
  <dcterms:modified xsi:type="dcterms:W3CDTF">2020-09-16T11:10:00Z</dcterms:modified>
</cp:coreProperties>
</file>